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C4617A" w14:textId="443B68F1" w:rsidR="00F63AE2" w:rsidRPr="00E6585A" w:rsidRDefault="00E97706" w:rsidP="00F63AE2">
      <w:pPr>
        <w:spacing w:line="276" w:lineRule="auto"/>
        <w:rPr>
          <w:b/>
          <w:bCs/>
          <w:sz w:val="32"/>
          <w:szCs w:val="32"/>
        </w:rPr>
      </w:pPr>
      <w:bookmarkStart w:id="0" w:name="_Hlk80253392"/>
      <w:r w:rsidRPr="00E97706">
        <w:rPr>
          <w:b/>
          <w:bCs/>
          <w:sz w:val="32"/>
          <w:szCs w:val="32"/>
          <w:u w:val="single"/>
        </w:rPr>
        <w:t>The Avenue School</w:t>
      </w:r>
      <w:r w:rsidR="00F63AE2" w:rsidRPr="00E6585A">
        <w:rPr>
          <w:b/>
          <w:bCs/>
          <w:sz w:val="32"/>
          <w:szCs w:val="32"/>
        </w:rPr>
        <w:t>:</w:t>
      </w:r>
      <w:r w:rsidR="00F63AE2" w:rsidRPr="00E6585A">
        <w:rPr>
          <w:sz w:val="32"/>
          <w:szCs w:val="32"/>
        </w:rPr>
        <w:t xml:space="preserve"> </w:t>
      </w:r>
      <w:r w:rsidR="00F63AE2" w:rsidRPr="00E6585A">
        <w:rPr>
          <w:b/>
          <w:bCs/>
          <w:sz w:val="32"/>
          <w:szCs w:val="32"/>
        </w:rPr>
        <w:t xml:space="preserve">Digital Continuity Statement </w:t>
      </w:r>
    </w:p>
    <w:p w14:paraId="53186E28" w14:textId="77777777" w:rsidR="00DC5E44" w:rsidRDefault="00DC5E44" w:rsidP="00F63AE2">
      <w:pPr>
        <w:pStyle w:val="Header"/>
        <w:spacing w:line="276" w:lineRule="auto"/>
        <w:rPr>
          <w:rFonts w:cs="Arial"/>
          <w:b/>
          <w:szCs w:val="22"/>
        </w:rPr>
      </w:pPr>
    </w:p>
    <w:p w14:paraId="392B56B5" w14:textId="15A41724" w:rsidR="00F63AE2" w:rsidRPr="004A41FD" w:rsidRDefault="00F63AE2" w:rsidP="00F63AE2">
      <w:pPr>
        <w:pStyle w:val="Header"/>
        <w:spacing w:line="276" w:lineRule="auto"/>
        <w:rPr>
          <w:rFonts w:cs="Arial"/>
          <w:b/>
          <w:sz w:val="28"/>
          <w:szCs w:val="28"/>
        </w:rPr>
      </w:pPr>
      <w:r>
        <w:rPr>
          <w:rFonts w:cs="Arial"/>
          <w:b/>
          <w:szCs w:val="22"/>
        </w:rPr>
        <w:t>The purpose and requirements for keeping the data</w:t>
      </w:r>
    </w:p>
    <w:p w14:paraId="4EAA4228" w14:textId="42EEF75B" w:rsidR="00F63AE2" w:rsidRDefault="00E97706" w:rsidP="00F63AE2">
      <w:pPr>
        <w:pStyle w:val="Header"/>
        <w:spacing w:line="276" w:lineRule="auto"/>
        <w:rPr>
          <w:rFonts w:cs="Arial"/>
          <w:szCs w:val="22"/>
        </w:rPr>
      </w:pPr>
      <w:r w:rsidRPr="00E97706">
        <w:rPr>
          <w:rFonts w:cs="Arial"/>
          <w:szCs w:val="22"/>
        </w:rPr>
        <w:t>The Avenue School</w:t>
      </w:r>
      <w:r w:rsidR="00F63AE2" w:rsidRPr="00E97706">
        <w:rPr>
          <w:rFonts w:cs="Arial"/>
          <w:b/>
          <w:szCs w:val="22"/>
        </w:rPr>
        <w:t xml:space="preserve"> </w:t>
      </w:r>
      <w:r w:rsidR="00F63AE2">
        <w:rPr>
          <w:rFonts w:cs="Arial"/>
          <w:szCs w:val="22"/>
        </w:rPr>
        <w:t xml:space="preserve">is committed to the protection and security of all data it is required to keep – in some </w:t>
      </w:r>
      <w:r w:rsidR="00F63AE2" w:rsidRPr="006823F2">
        <w:rPr>
          <w:rFonts w:cs="Arial"/>
          <w:noProof/>
          <w:szCs w:val="22"/>
        </w:rPr>
        <w:t>cases</w:t>
      </w:r>
      <w:r w:rsidR="00F63AE2">
        <w:rPr>
          <w:rFonts w:cs="Arial"/>
          <w:szCs w:val="22"/>
        </w:rPr>
        <w:t xml:space="preserve"> this may be beyond a pupil’s, staff </w:t>
      </w:r>
      <w:proofErr w:type="spellStart"/>
      <w:r w:rsidR="00F63AE2">
        <w:rPr>
          <w:rFonts w:cs="Arial"/>
          <w:szCs w:val="22"/>
        </w:rPr>
        <w:t>member’s</w:t>
      </w:r>
      <w:proofErr w:type="spellEnd"/>
      <w:r w:rsidR="00F63AE2">
        <w:rPr>
          <w:rFonts w:cs="Arial"/>
          <w:szCs w:val="22"/>
        </w:rPr>
        <w:t xml:space="preserve"> or </w:t>
      </w:r>
      <w:r>
        <w:rPr>
          <w:rFonts w:cs="Arial"/>
          <w:szCs w:val="22"/>
        </w:rPr>
        <w:t>trustee</w:t>
      </w:r>
      <w:r w:rsidR="00F63AE2">
        <w:rPr>
          <w:rFonts w:cs="Arial"/>
          <w:szCs w:val="22"/>
        </w:rPr>
        <w:t>’s tenancy at the school. In light of this,</w:t>
      </w:r>
      <w:r w:rsidR="00507CBA">
        <w:rPr>
          <w:rFonts w:cs="Arial"/>
          <w:szCs w:val="22"/>
        </w:rPr>
        <w:t xml:space="preserve"> the school</w:t>
      </w:r>
      <w:r w:rsidR="00F63AE2" w:rsidRPr="00F63AE2">
        <w:rPr>
          <w:rFonts w:cs="Arial"/>
          <w:color w:val="FF6900" w:themeColor="accent5"/>
          <w:szCs w:val="22"/>
        </w:rPr>
        <w:t xml:space="preserve"> </w:t>
      </w:r>
      <w:r w:rsidR="00507CBA">
        <w:rPr>
          <w:rFonts w:cs="Arial"/>
          <w:szCs w:val="22"/>
        </w:rPr>
        <w:t>has developed</w:t>
      </w:r>
      <w:r w:rsidR="00F63AE2">
        <w:rPr>
          <w:rFonts w:cs="Arial"/>
          <w:szCs w:val="22"/>
        </w:rPr>
        <w:t xml:space="preserve"> a digital continuity statement pertaining to computerised data that </w:t>
      </w:r>
      <w:r w:rsidR="00507CBA">
        <w:rPr>
          <w:rFonts w:cs="Arial"/>
          <w:szCs w:val="22"/>
        </w:rPr>
        <w:t xml:space="preserve">needs to </w:t>
      </w:r>
      <w:r w:rsidR="00F63AE2">
        <w:rPr>
          <w:rFonts w:cs="Arial"/>
          <w:szCs w:val="22"/>
        </w:rPr>
        <w:t xml:space="preserve">be kept for six or more years. </w:t>
      </w:r>
    </w:p>
    <w:p w14:paraId="74B8E1A7" w14:textId="77777777" w:rsidR="00F63AE2" w:rsidRDefault="00F63AE2" w:rsidP="00F63AE2">
      <w:pPr>
        <w:spacing w:line="276" w:lineRule="auto"/>
        <w:rPr>
          <w:rFonts w:cs="Arial"/>
        </w:rPr>
      </w:pPr>
      <w:r>
        <w:rPr>
          <w:rFonts w:cs="Arial"/>
        </w:rPr>
        <w:t xml:space="preserve">Should the school fail to retain this data, legal action may result in financial penalisation and/or negative press; it is for this reason that the school will retain relevant data for as long as it is required. </w:t>
      </w:r>
    </w:p>
    <w:p w14:paraId="73B5BDCC" w14:textId="77777777" w:rsidR="00F63AE2" w:rsidRPr="00AF1558" w:rsidRDefault="00F63AE2" w:rsidP="00F63AE2">
      <w:pPr>
        <w:spacing w:line="276" w:lineRule="auto"/>
        <w:rPr>
          <w:rFonts w:cs="Arial"/>
          <w:b/>
        </w:rPr>
      </w:pPr>
      <w:r>
        <w:rPr>
          <w:rFonts w:cs="Arial"/>
          <w:b/>
        </w:rPr>
        <w:t>T</w:t>
      </w:r>
      <w:r w:rsidRPr="00AF1558">
        <w:rPr>
          <w:rFonts w:cs="Arial"/>
          <w:b/>
        </w:rPr>
        <w:t>he information assets to be covered by the statement</w:t>
      </w:r>
    </w:p>
    <w:p w14:paraId="1E3F3E50" w14:textId="5E441433" w:rsidR="00F63AE2" w:rsidRPr="00E97706" w:rsidRDefault="00F63AE2" w:rsidP="00F63AE2">
      <w:pPr>
        <w:pStyle w:val="Header"/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The school understands the sensitivity of some data it is required to </w:t>
      </w:r>
      <w:r>
        <w:rPr>
          <w:rFonts w:cs="Arial"/>
          <w:noProof/>
          <w:szCs w:val="22"/>
        </w:rPr>
        <w:t>keep</w:t>
      </w:r>
      <w:r>
        <w:rPr>
          <w:rFonts w:cs="Arial"/>
          <w:szCs w:val="22"/>
        </w:rPr>
        <w:t xml:space="preserve"> and ensures measures are in place to secure this data, in accordance with the school’s </w:t>
      </w:r>
      <w:r w:rsidRPr="00E97706">
        <w:rPr>
          <w:rFonts w:cs="Arial"/>
          <w:szCs w:val="22"/>
        </w:rPr>
        <w:t xml:space="preserve">Data Protection Policy and the </w:t>
      </w:r>
      <w:r w:rsidR="00507CBA" w:rsidRPr="00E97706">
        <w:rPr>
          <w:rFonts w:cs="Arial"/>
          <w:szCs w:val="22"/>
        </w:rPr>
        <w:t xml:space="preserve">UK </w:t>
      </w:r>
      <w:r w:rsidRPr="00E97706">
        <w:rPr>
          <w:rFonts w:cs="Arial"/>
          <w:szCs w:val="22"/>
        </w:rPr>
        <w:t xml:space="preserve">GDPR. </w:t>
      </w:r>
    </w:p>
    <w:p w14:paraId="74C7CCC7" w14:textId="20D5C8E6" w:rsidR="00507CBA" w:rsidRPr="00E97706" w:rsidRDefault="00507CBA" w:rsidP="00F63AE2">
      <w:pPr>
        <w:pStyle w:val="Header"/>
        <w:spacing w:line="276" w:lineRule="auto"/>
        <w:rPr>
          <w:rFonts w:cs="Arial"/>
          <w:bCs/>
          <w:szCs w:val="22"/>
        </w:rPr>
      </w:pPr>
      <w:r w:rsidRPr="00A95A1F">
        <w:rPr>
          <w:rFonts w:cs="Arial"/>
          <w:b/>
          <w:szCs w:val="22"/>
          <w:shd w:val="clear" w:color="auto" w:fill="47D7AC" w:themeFill="accent4"/>
        </w:rPr>
        <w:t>[New]</w:t>
      </w:r>
      <w:r w:rsidRPr="00A95A1F">
        <w:rPr>
          <w:rFonts w:cs="Arial"/>
          <w:b/>
          <w:szCs w:val="22"/>
        </w:rPr>
        <w:t xml:space="preserve"> </w:t>
      </w:r>
      <w:r w:rsidRPr="00A95A1F">
        <w:rPr>
          <w:rFonts w:cs="Arial"/>
          <w:bCs/>
          <w:szCs w:val="22"/>
        </w:rPr>
        <w:t xml:space="preserve">The school’s data security measures are outlined in full in the </w:t>
      </w:r>
      <w:r w:rsidRPr="00E97706">
        <w:rPr>
          <w:rFonts w:cs="Arial"/>
          <w:szCs w:val="22"/>
        </w:rPr>
        <w:t>Data and Cyber Security Breach Prevention Management Plan</w:t>
      </w:r>
      <w:r w:rsidRPr="00E97706">
        <w:rPr>
          <w:rFonts w:cs="Arial"/>
          <w:bCs/>
          <w:szCs w:val="22"/>
        </w:rPr>
        <w:t xml:space="preserve">. </w:t>
      </w:r>
    </w:p>
    <w:p w14:paraId="4FF79A2F" w14:textId="77777777" w:rsidR="00F63AE2" w:rsidRPr="00AF1558" w:rsidRDefault="00F63AE2" w:rsidP="00F63AE2">
      <w:pPr>
        <w:spacing w:line="276" w:lineRule="auto"/>
        <w:rPr>
          <w:rFonts w:cs="Arial"/>
          <w:b/>
        </w:rPr>
      </w:pPr>
      <w:r>
        <w:rPr>
          <w:rFonts w:cs="Arial"/>
          <w:b/>
        </w:rPr>
        <w:t>T</w:t>
      </w:r>
      <w:r w:rsidRPr="00AF1558">
        <w:rPr>
          <w:rFonts w:cs="Arial"/>
          <w:b/>
        </w:rPr>
        <w:t>he individuals responsible for the data preservation</w:t>
      </w:r>
    </w:p>
    <w:p w14:paraId="68E2D650" w14:textId="77777777" w:rsidR="00F63AE2" w:rsidRDefault="00F63AE2" w:rsidP="00F63AE2">
      <w:pPr>
        <w:spacing w:line="276" w:lineRule="auto"/>
        <w:rPr>
          <w:rFonts w:cs="Arial"/>
        </w:rPr>
      </w:pPr>
      <w:r>
        <w:rPr>
          <w:rFonts w:cs="Arial"/>
        </w:rPr>
        <w:t>Data retention will be overseen by the following personnel:</w:t>
      </w:r>
    </w:p>
    <w:p w14:paraId="6144A1B6" w14:textId="012A1F55" w:rsidR="00F63AE2" w:rsidRPr="00206B49" w:rsidRDefault="00206B49" w:rsidP="00F63AE2">
      <w:pPr>
        <w:pStyle w:val="ListParagraph"/>
        <w:numPr>
          <w:ilvl w:val="0"/>
          <w:numId w:val="10"/>
        </w:numPr>
        <w:spacing w:after="120"/>
        <w:rPr>
          <w:rFonts w:ascii="Arial" w:hAnsi="Arial" w:cs="Arial"/>
        </w:rPr>
      </w:pPr>
      <w:r w:rsidRPr="00206B49">
        <w:rPr>
          <w:rFonts w:ascii="Arial" w:hAnsi="Arial" w:cs="Arial"/>
        </w:rPr>
        <w:t>Head of Business and Finance</w:t>
      </w:r>
    </w:p>
    <w:p w14:paraId="20FCBD7A" w14:textId="77777777" w:rsidR="00F63AE2" w:rsidRPr="00F63AE2" w:rsidRDefault="00F63AE2" w:rsidP="00F63AE2">
      <w:pPr>
        <w:pStyle w:val="ListParagraph"/>
        <w:numPr>
          <w:ilvl w:val="0"/>
          <w:numId w:val="10"/>
        </w:numPr>
        <w:spacing w:after="120"/>
        <w:rPr>
          <w:rFonts w:ascii="Arial" w:hAnsi="Arial" w:cs="Arial"/>
          <w:b/>
          <w:color w:val="FF6900" w:themeColor="accent5"/>
          <w:u w:val="single"/>
        </w:rPr>
      </w:pPr>
      <w:r w:rsidRPr="00206B49">
        <w:rPr>
          <w:rFonts w:ascii="Arial" w:hAnsi="Arial" w:cs="Arial"/>
        </w:rPr>
        <w:t>Information asset owners</w:t>
      </w:r>
    </w:p>
    <w:p w14:paraId="1AFDBC8D" w14:textId="4800BDB2" w:rsidR="00F63AE2" w:rsidRDefault="00F63AE2" w:rsidP="00F63AE2">
      <w:pPr>
        <w:spacing w:line="276" w:lineRule="auto"/>
        <w:rPr>
          <w:rFonts w:cs="Arial"/>
        </w:rPr>
      </w:pPr>
      <w:r>
        <w:rPr>
          <w:rFonts w:cs="Arial"/>
        </w:rPr>
        <w:t xml:space="preserve">Should any of the above personnel change, appropriate updates will be made to this and other affected policies and correspondence. </w:t>
      </w:r>
    </w:p>
    <w:p w14:paraId="13372ECA" w14:textId="77777777" w:rsidR="00F63AE2" w:rsidRPr="00AF1558" w:rsidRDefault="00F63AE2" w:rsidP="00F63AE2">
      <w:pPr>
        <w:spacing w:line="276" w:lineRule="auto"/>
        <w:rPr>
          <w:rFonts w:cs="Arial"/>
          <w:b/>
        </w:rPr>
      </w:pPr>
      <w:r>
        <w:rPr>
          <w:rFonts w:cs="Arial"/>
          <w:b/>
        </w:rPr>
        <w:t>T</w:t>
      </w:r>
      <w:r w:rsidRPr="00AF1558">
        <w:rPr>
          <w:rFonts w:cs="Arial"/>
          <w:b/>
        </w:rPr>
        <w:t>he appropriate supported file formats for long-term preservation</w:t>
      </w:r>
      <w:r>
        <w:rPr>
          <w:rFonts w:cs="Arial"/>
          <w:b/>
        </w:rPr>
        <w:t>, and when they need to be transferred</w:t>
      </w:r>
    </w:p>
    <w:p w14:paraId="470AAC63" w14:textId="5F7A29E2" w:rsidR="00F63AE2" w:rsidRDefault="00F63AE2" w:rsidP="00F63AE2">
      <w:pPr>
        <w:spacing w:line="276" w:lineRule="auto"/>
        <w:rPr>
          <w:rFonts w:cs="Arial"/>
        </w:rPr>
      </w:pPr>
      <w:r w:rsidRPr="00206B49">
        <w:rPr>
          <w:rFonts w:cs="Arial"/>
        </w:rPr>
        <w:t xml:space="preserve">Microsoft Word documents will be converted into PDF </w:t>
      </w:r>
      <w:r>
        <w:rPr>
          <w:rFonts w:cs="Arial"/>
        </w:rPr>
        <w:t xml:space="preserve">files, to ensure the longevity of their accessibility – file formats should be converted as soon as possible, or within six months, to ensure their compatibility. Further specifications of file conversion </w:t>
      </w:r>
      <w:r w:rsidRPr="006823F2">
        <w:rPr>
          <w:rFonts w:cs="Arial"/>
          <w:noProof/>
        </w:rPr>
        <w:t>are</w:t>
      </w:r>
      <w:r>
        <w:rPr>
          <w:rFonts w:cs="Arial"/>
        </w:rPr>
        <w:t xml:space="preserve"> listed below:</w:t>
      </w:r>
    </w:p>
    <w:p w14:paraId="7F8423DC" w14:textId="77777777" w:rsidR="00F63AE2" w:rsidRDefault="00F63AE2" w:rsidP="00F63AE2">
      <w:pPr>
        <w:spacing w:line="276" w:lineRule="auto"/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F63AE2" w14:paraId="7B2BD121" w14:textId="77777777" w:rsidTr="00F63AE2">
        <w:trPr>
          <w:trHeight w:val="567"/>
        </w:trPr>
        <w:tc>
          <w:tcPr>
            <w:tcW w:w="4621" w:type="dxa"/>
            <w:shd w:val="clear" w:color="auto" w:fill="041E42" w:themeFill="accent2"/>
            <w:vAlign w:val="center"/>
          </w:tcPr>
          <w:p w14:paraId="0B609D38" w14:textId="77777777" w:rsidR="00F63AE2" w:rsidRPr="00CF0D51" w:rsidRDefault="00F63AE2" w:rsidP="00F63AE2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CF0D51">
              <w:rPr>
                <w:rFonts w:cs="Arial"/>
                <w:b/>
                <w:sz w:val="22"/>
                <w:szCs w:val="22"/>
              </w:rPr>
              <w:t>Type of file</w:t>
            </w:r>
          </w:p>
        </w:tc>
        <w:tc>
          <w:tcPr>
            <w:tcW w:w="4621" w:type="dxa"/>
            <w:shd w:val="clear" w:color="auto" w:fill="041E42" w:themeFill="accent2"/>
            <w:vAlign w:val="center"/>
          </w:tcPr>
          <w:p w14:paraId="147C2F35" w14:textId="77777777" w:rsidR="00F63AE2" w:rsidRPr="00CF0D51" w:rsidRDefault="00F63AE2" w:rsidP="00F63AE2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CF0D51">
              <w:rPr>
                <w:rFonts w:cs="Arial"/>
                <w:b/>
                <w:sz w:val="22"/>
                <w:szCs w:val="22"/>
              </w:rPr>
              <w:t>To be converted to</w:t>
            </w:r>
          </w:p>
        </w:tc>
      </w:tr>
      <w:tr w:rsidR="00F63AE2" w14:paraId="76C3FEDC" w14:textId="77777777" w:rsidTr="00444074">
        <w:trPr>
          <w:trHeight w:val="567"/>
        </w:trPr>
        <w:tc>
          <w:tcPr>
            <w:tcW w:w="4621" w:type="dxa"/>
            <w:vAlign w:val="center"/>
          </w:tcPr>
          <w:p w14:paraId="5B02C6C3" w14:textId="77777777" w:rsidR="00F63AE2" w:rsidRPr="00DF2EEF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DF2EEF">
              <w:rPr>
                <w:rFonts w:cs="Arial"/>
                <w:sz w:val="22"/>
              </w:rPr>
              <w:t>Microsoft Word document</w:t>
            </w:r>
          </w:p>
        </w:tc>
        <w:tc>
          <w:tcPr>
            <w:tcW w:w="4621" w:type="dxa"/>
            <w:vAlign w:val="center"/>
          </w:tcPr>
          <w:p w14:paraId="149016B6" w14:textId="77777777" w:rsidR="00F63AE2" w:rsidRPr="00DF2EEF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DF2EEF">
              <w:rPr>
                <w:rFonts w:cs="Arial"/>
                <w:sz w:val="22"/>
              </w:rPr>
              <w:t>PDF</w:t>
            </w:r>
          </w:p>
        </w:tc>
      </w:tr>
      <w:tr w:rsidR="00F63AE2" w14:paraId="33A5151C" w14:textId="77777777" w:rsidTr="00444074">
        <w:trPr>
          <w:trHeight w:val="567"/>
        </w:trPr>
        <w:tc>
          <w:tcPr>
            <w:tcW w:w="4621" w:type="dxa"/>
            <w:vAlign w:val="center"/>
          </w:tcPr>
          <w:p w14:paraId="58152758" w14:textId="77777777" w:rsidR="00F63AE2" w:rsidRPr="00DF2EEF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DF2EEF">
              <w:rPr>
                <w:rFonts w:cs="Arial"/>
                <w:sz w:val="22"/>
              </w:rPr>
              <w:t>Microsoft PowerPoint document</w:t>
            </w:r>
          </w:p>
        </w:tc>
        <w:tc>
          <w:tcPr>
            <w:tcW w:w="4621" w:type="dxa"/>
            <w:vAlign w:val="center"/>
          </w:tcPr>
          <w:p w14:paraId="3E934AB0" w14:textId="77777777" w:rsidR="00F63AE2" w:rsidRPr="00DF2EEF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DF2EEF">
              <w:rPr>
                <w:rFonts w:cs="Arial"/>
                <w:sz w:val="22"/>
              </w:rPr>
              <w:t>PDF</w:t>
            </w:r>
          </w:p>
        </w:tc>
      </w:tr>
      <w:tr w:rsidR="00F63AE2" w14:paraId="69975C70" w14:textId="77777777" w:rsidTr="00444074">
        <w:trPr>
          <w:trHeight w:val="567"/>
        </w:trPr>
        <w:tc>
          <w:tcPr>
            <w:tcW w:w="4621" w:type="dxa"/>
            <w:vAlign w:val="center"/>
          </w:tcPr>
          <w:p w14:paraId="5F279E79" w14:textId="77777777" w:rsidR="00F63AE2" w:rsidRPr="00DF2EEF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DF2EEF">
              <w:rPr>
                <w:rFonts w:cs="Arial"/>
                <w:sz w:val="22"/>
              </w:rPr>
              <w:t>Microsoft Excel document</w:t>
            </w:r>
          </w:p>
        </w:tc>
        <w:tc>
          <w:tcPr>
            <w:tcW w:w="4621" w:type="dxa"/>
            <w:vAlign w:val="center"/>
          </w:tcPr>
          <w:p w14:paraId="0DF776DB" w14:textId="77777777" w:rsidR="00F63AE2" w:rsidRPr="00DF2EEF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DF2EEF">
              <w:rPr>
                <w:rFonts w:cs="Arial"/>
                <w:sz w:val="22"/>
              </w:rPr>
              <w:t>PDF</w:t>
            </w:r>
          </w:p>
        </w:tc>
      </w:tr>
      <w:tr w:rsidR="00F63AE2" w14:paraId="15B0A103" w14:textId="77777777" w:rsidTr="00444074">
        <w:trPr>
          <w:trHeight w:val="567"/>
        </w:trPr>
        <w:tc>
          <w:tcPr>
            <w:tcW w:w="4621" w:type="dxa"/>
            <w:vAlign w:val="center"/>
          </w:tcPr>
          <w:p w14:paraId="6EC22D52" w14:textId="77777777" w:rsidR="00F63AE2" w:rsidRPr="00DF2EEF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DF2EEF">
              <w:rPr>
                <w:rFonts w:cs="Arial"/>
                <w:sz w:val="22"/>
              </w:rPr>
              <w:t>Images</w:t>
            </w:r>
          </w:p>
        </w:tc>
        <w:tc>
          <w:tcPr>
            <w:tcW w:w="4621" w:type="dxa"/>
            <w:vAlign w:val="center"/>
          </w:tcPr>
          <w:p w14:paraId="2A518D90" w14:textId="77777777" w:rsidR="00F63AE2" w:rsidRPr="00DF2EEF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bookmarkStart w:id="1" w:name="_GoBack"/>
            <w:bookmarkEnd w:id="1"/>
            <w:r w:rsidRPr="00DF2EEF">
              <w:rPr>
                <w:rFonts w:cs="Arial"/>
                <w:sz w:val="22"/>
              </w:rPr>
              <w:t>JPEG</w:t>
            </w:r>
          </w:p>
        </w:tc>
      </w:tr>
      <w:tr w:rsidR="00F63AE2" w14:paraId="4FEA46BC" w14:textId="77777777" w:rsidTr="00444074">
        <w:trPr>
          <w:trHeight w:val="567"/>
        </w:trPr>
        <w:tc>
          <w:tcPr>
            <w:tcW w:w="4621" w:type="dxa"/>
            <w:vAlign w:val="center"/>
          </w:tcPr>
          <w:p w14:paraId="341D9F72" w14:textId="77777777" w:rsidR="00F63AE2" w:rsidRPr="00DF2EEF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DF2EEF">
              <w:rPr>
                <w:rFonts w:cs="Arial"/>
                <w:sz w:val="22"/>
              </w:rPr>
              <w:t>Videos and film, including CCTV</w:t>
            </w:r>
          </w:p>
        </w:tc>
        <w:tc>
          <w:tcPr>
            <w:tcW w:w="4621" w:type="dxa"/>
            <w:vAlign w:val="center"/>
          </w:tcPr>
          <w:p w14:paraId="6F7AAA75" w14:textId="77777777" w:rsidR="00F63AE2" w:rsidRPr="00DF2EEF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DF2EEF">
              <w:rPr>
                <w:rFonts w:cs="Arial"/>
                <w:sz w:val="22"/>
              </w:rPr>
              <w:t xml:space="preserve">MOV/MP4 </w:t>
            </w:r>
          </w:p>
        </w:tc>
      </w:tr>
    </w:tbl>
    <w:p w14:paraId="69A87A6D" w14:textId="77777777" w:rsidR="00F63AE2" w:rsidRPr="00AF1558" w:rsidRDefault="00F63AE2" w:rsidP="00F63AE2">
      <w:pPr>
        <w:spacing w:before="240" w:line="276" w:lineRule="auto"/>
        <w:rPr>
          <w:rFonts w:cs="Arial"/>
          <w:b/>
        </w:rPr>
      </w:pPr>
      <w:r>
        <w:rPr>
          <w:rFonts w:cs="Arial"/>
          <w:b/>
        </w:rPr>
        <w:t>T</w:t>
      </w:r>
      <w:r w:rsidRPr="00AF1558">
        <w:rPr>
          <w:rFonts w:cs="Arial"/>
          <w:b/>
        </w:rPr>
        <w:t>he retention of all software specification information and licen</w:t>
      </w:r>
      <w:r>
        <w:rPr>
          <w:rFonts w:cs="Arial"/>
          <w:b/>
        </w:rPr>
        <w:t>c</w:t>
      </w:r>
      <w:r w:rsidRPr="00AF1558">
        <w:rPr>
          <w:rFonts w:cs="Arial"/>
          <w:b/>
        </w:rPr>
        <w:t>e information</w:t>
      </w:r>
    </w:p>
    <w:p w14:paraId="7F6DA985" w14:textId="4232BA33" w:rsidR="00F63AE2" w:rsidRDefault="00F63AE2" w:rsidP="00F63AE2">
      <w:pPr>
        <w:spacing w:line="276" w:lineRule="auto"/>
        <w:rPr>
          <w:rFonts w:cs="Arial"/>
        </w:rPr>
      </w:pPr>
      <w:r>
        <w:rPr>
          <w:rFonts w:cs="Arial"/>
        </w:rPr>
        <w:t>If it is not possible for the data created by an unsupported computer system to be converted to the supported file formats, the system itself should be ‘mothballed’</w:t>
      </w:r>
      <w:r w:rsidR="0017134C">
        <w:rPr>
          <w:rFonts w:cs="Arial"/>
        </w:rPr>
        <w:t xml:space="preserve"> (i.e.</w:t>
      </w:r>
      <w:r w:rsidR="00171E26">
        <w:rPr>
          <w:rFonts w:cs="Arial"/>
        </w:rPr>
        <w:t xml:space="preserve"> usage of the system should be stopped, but it should be kept in good condition)</w:t>
      </w:r>
      <w:r>
        <w:rPr>
          <w:rFonts w:cs="Arial"/>
        </w:rPr>
        <w:t xml:space="preserve"> to preserve the files it has stored. If this is the case with any data,</w:t>
      </w:r>
      <w:r w:rsidR="00507CBA">
        <w:rPr>
          <w:rFonts w:cs="Arial"/>
        </w:rPr>
        <w:t xml:space="preserve"> the school</w:t>
      </w:r>
      <w:r w:rsidRPr="00F63AE2">
        <w:rPr>
          <w:rFonts w:cs="Arial"/>
          <w:color w:val="FF6900" w:themeColor="accent5"/>
        </w:rPr>
        <w:t xml:space="preserve"> </w:t>
      </w:r>
      <w:r>
        <w:rPr>
          <w:rFonts w:cs="Arial"/>
        </w:rPr>
        <w:t xml:space="preserve">will list the complete system specification for the software that has been used and any licence information which will allow the system to be retained in its entirety. </w:t>
      </w:r>
    </w:p>
    <w:p w14:paraId="2D0D522C" w14:textId="54BA4ED5" w:rsidR="00F63AE2" w:rsidRDefault="00F63AE2" w:rsidP="00F63AE2">
      <w:pPr>
        <w:spacing w:line="276" w:lineRule="auto"/>
        <w:rPr>
          <w:rFonts w:cs="Arial"/>
        </w:rPr>
      </w:pPr>
      <w:r>
        <w:rPr>
          <w:rFonts w:cs="Arial"/>
        </w:rPr>
        <w:t xml:space="preserve">Data will be stored on password protected external hard drives, which will be kept in a locked filing cabinet – only the </w:t>
      </w:r>
      <w:r w:rsidRPr="00206B49">
        <w:rPr>
          <w:rFonts w:cs="Arial"/>
        </w:rPr>
        <w:t>information asset owners</w:t>
      </w:r>
      <w:r w:rsidR="00206B49">
        <w:rPr>
          <w:rFonts w:cs="Arial"/>
        </w:rPr>
        <w:t>, Head of Business and Finance</w:t>
      </w:r>
      <w:r w:rsidRPr="00206B49">
        <w:rPr>
          <w:rFonts w:cs="Arial"/>
        </w:rPr>
        <w:t xml:space="preserve"> and the headteacher</w:t>
      </w:r>
      <w:r>
        <w:rPr>
          <w:rFonts w:cs="Arial"/>
        </w:rPr>
        <w:t xml:space="preserve"> will have knowledge of these passwords</w:t>
      </w:r>
    </w:p>
    <w:p w14:paraId="73162963" w14:textId="06DD782F" w:rsidR="00F63AE2" w:rsidRPr="00AF1558" w:rsidRDefault="00F63AE2" w:rsidP="00F63AE2">
      <w:pPr>
        <w:spacing w:line="276" w:lineRule="auto"/>
        <w:rPr>
          <w:rFonts w:cs="Arial"/>
          <w:b/>
        </w:rPr>
      </w:pPr>
      <w:r>
        <w:rPr>
          <w:rFonts w:cs="Arial"/>
          <w:b/>
        </w:rPr>
        <w:t>H</w:t>
      </w:r>
      <w:r w:rsidRPr="00AF1558">
        <w:rPr>
          <w:rFonts w:cs="Arial"/>
          <w:b/>
        </w:rPr>
        <w:t xml:space="preserve">ow access to the information asset is to be managed in accordance with the </w:t>
      </w:r>
      <w:r w:rsidR="00736D1C">
        <w:rPr>
          <w:rFonts w:cs="Arial"/>
          <w:b/>
        </w:rPr>
        <w:t xml:space="preserve">UK </w:t>
      </w:r>
      <w:r>
        <w:rPr>
          <w:rFonts w:cs="Arial"/>
          <w:b/>
        </w:rPr>
        <w:t>GDPR</w:t>
      </w:r>
    </w:p>
    <w:p w14:paraId="343EBF24" w14:textId="361931E2" w:rsidR="00F63AE2" w:rsidRDefault="00F63AE2" w:rsidP="00F63AE2">
      <w:pPr>
        <w:spacing w:line="276" w:lineRule="auto"/>
        <w:rPr>
          <w:rFonts w:cs="Arial"/>
        </w:rPr>
      </w:pPr>
      <w:r>
        <w:rPr>
          <w:rFonts w:cs="Arial"/>
        </w:rPr>
        <w:t xml:space="preserve">To ensure the data’s relevance to the school, and that recent files have been correctly converted, </w:t>
      </w:r>
      <w:r w:rsidR="00206B49">
        <w:rPr>
          <w:rFonts w:cs="Arial"/>
        </w:rPr>
        <w:t>ICT Technician, SENDCo, HR Manager, Head of Business and Finance(DPO), Governance Professional, Class Leads and Leadership team</w:t>
      </w:r>
      <w:r w:rsidRPr="00F63AE2">
        <w:rPr>
          <w:rFonts w:cs="Arial"/>
          <w:b/>
          <w:color w:val="FF6900" w:themeColor="accent5"/>
        </w:rPr>
        <w:t xml:space="preserve"> </w:t>
      </w:r>
      <w:r>
        <w:rPr>
          <w:rFonts w:cs="Arial"/>
        </w:rPr>
        <w:t xml:space="preserve">will undertake regular archive checks of the data – timeframes are </w:t>
      </w:r>
      <w:r w:rsidRPr="008B569B">
        <w:t xml:space="preserve">listed in the table below. In accordance with principle </w:t>
      </w:r>
      <w:r>
        <w:t xml:space="preserve">five of the </w:t>
      </w:r>
      <w:r w:rsidR="00507CBA">
        <w:t xml:space="preserve">UK </w:t>
      </w:r>
      <w:r>
        <w:t>GDPR, p</w:t>
      </w:r>
      <w:r w:rsidRPr="00AF1558">
        <w:t>ersonal data </w:t>
      </w:r>
      <w:r>
        <w:t xml:space="preserve">should be “kept in a form which permits the identification of data subjects for no longer than is necessary for the purposes for which the personal data are </w:t>
      </w:r>
      <w:r w:rsidRPr="00AF1558">
        <w:t>processed</w:t>
      </w:r>
      <w:r>
        <w:t>”.</w:t>
      </w:r>
      <w:r w:rsidR="00507CBA">
        <w:t xml:space="preserve"> The school</w:t>
      </w:r>
      <w:r w:rsidRPr="00F63AE2">
        <w:rPr>
          <w:color w:val="FF6900" w:themeColor="accent5"/>
        </w:rPr>
        <w:t xml:space="preserve"> </w:t>
      </w:r>
      <w:r>
        <w:t xml:space="preserve">is committed to ensuring all data is checked regularly to ensure its relevance. 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4621"/>
        <w:gridCol w:w="4701"/>
      </w:tblGrid>
      <w:tr w:rsidR="00F63AE2" w14:paraId="54DE1630" w14:textId="77777777" w:rsidTr="00F63AE2">
        <w:trPr>
          <w:trHeight w:val="567"/>
        </w:trPr>
        <w:tc>
          <w:tcPr>
            <w:tcW w:w="4621" w:type="dxa"/>
            <w:shd w:val="clear" w:color="auto" w:fill="041E42" w:themeFill="accent2"/>
            <w:vAlign w:val="center"/>
          </w:tcPr>
          <w:p w14:paraId="66378B70" w14:textId="77777777" w:rsidR="00F63AE2" w:rsidRPr="007C507A" w:rsidRDefault="00F63AE2" w:rsidP="00F63AE2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7C507A">
              <w:rPr>
                <w:rFonts w:cs="Arial"/>
                <w:b/>
                <w:sz w:val="22"/>
                <w:szCs w:val="22"/>
              </w:rPr>
              <w:t>Timeframe</w:t>
            </w:r>
          </w:p>
        </w:tc>
        <w:tc>
          <w:tcPr>
            <w:tcW w:w="4701" w:type="dxa"/>
            <w:shd w:val="clear" w:color="auto" w:fill="041E42" w:themeFill="accent2"/>
            <w:vAlign w:val="center"/>
          </w:tcPr>
          <w:p w14:paraId="7BED2CD6" w14:textId="77777777" w:rsidR="00F63AE2" w:rsidRPr="007C507A" w:rsidRDefault="00F63AE2" w:rsidP="00F63AE2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7C507A">
              <w:rPr>
                <w:rFonts w:cs="Arial"/>
                <w:b/>
                <w:sz w:val="22"/>
                <w:szCs w:val="22"/>
              </w:rPr>
              <w:t>Type of check</w:t>
            </w:r>
          </w:p>
        </w:tc>
      </w:tr>
      <w:tr w:rsidR="00F63AE2" w14:paraId="28EF7186" w14:textId="77777777" w:rsidTr="00444074">
        <w:trPr>
          <w:trHeight w:val="567"/>
        </w:trPr>
        <w:tc>
          <w:tcPr>
            <w:tcW w:w="4621" w:type="dxa"/>
            <w:vAlign w:val="center"/>
          </w:tcPr>
          <w:p w14:paraId="6706006F" w14:textId="77777777" w:rsidR="00F63AE2" w:rsidRPr="00AF1558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AF1558">
              <w:rPr>
                <w:rFonts w:cs="Arial"/>
                <w:sz w:val="22"/>
              </w:rPr>
              <w:t>Biannually</w:t>
            </w:r>
          </w:p>
        </w:tc>
        <w:tc>
          <w:tcPr>
            <w:tcW w:w="4701" w:type="dxa"/>
            <w:vAlign w:val="center"/>
          </w:tcPr>
          <w:p w14:paraId="6C4B89B9" w14:textId="77777777" w:rsidR="00F63AE2" w:rsidRPr="00AF1558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AF1558">
              <w:rPr>
                <w:rFonts w:cs="Arial"/>
                <w:sz w:val="22"/>
              </w:rPr>
              <w:t>Relevance check</w:t>
            </w:r>
          </w:p>
        </w:tc>
      </w:tr>
      <w:tr w:rsidR="00F63AE2" w14:paraId="112842AB" w14:textId="77777777" w:rsidTr="00444074">
        <w:trPr>
          <w:trHeight w:val="680"/>
        </w:trPr>
        <w:tc>
          <w:tcPr>
            <w:tcW w:w="4621" w:type="dxa"/>
            <w:vAlign w:val="center"/>
          </w:tcPr>
          <w:p w14:paraId="04E2EA24" w14:textId="77777777" w:rsidR="00F63AE2" w:rsidRPr="00AF1558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AF1558">
              <w:rPr>
                <w:rFonts w:cs="Arial"/>
                <w:sz w:val="22"/>
              </w:rPr>
              <w:t>Annually</w:t>
            </w:r>
          </w:p>
        </w:tc>
        <w:tc>
          <w:tcPr>
            <w:tcW w:w="4701" w:type="dxa"/>
            <w:vAlign w:val="center"/>
          </w:tcPr>
          <w:p w14:paraId="103D0CFF" w14:textId="77777777" w:rsidR="00F63AE2" w:rsidRPr="00AF1558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AF1558">
              <w:rPr>
                <w:rFonts w:cs="Arial"/>
                <w:sz w:val="22"/>
              </w:rPr>
              <w:t>Compatibility check and, if required, back-up files created</w:t>
            </w:r>
          </w:p>
        </w:tc>
      </w:tr>
      <w:tr w:rsidR="00F63AE2" w14:paraId="30EDD8D7" w14:textId="77777777" w:rsidTr="00444074">
        <w:trPr>
          <w:trHeight w:val="680"/>
        </w:trPr>
        <w:tc>
          <w:tcPr>
            <w:tcW w:w="4621" w:type="dxa"/>
            <w:vAlign w:val="center"/>
          </w:tcPr>
          <w:p w14:paraId="50925E28" w14:textId="77777777" w:rsidR="00F63AE2" w:rsidRPr="00AF1558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AF1558">
              <w:rPr>
                <w:rFonts w:cs="Arial"/>
                <w:sz w:val="22"/>
              </w:rPr>
              <w:t>At the end of the data’s lifecycle (at least every six years)</w:t>
            </w:r>
          </w:p>
        </w:tc>
        <w:tc>
          <w:tcPr>
            <w:tcW w:w="4701" w:type="dxa"/>
            <w:vAlign w:val="center"/>
          </w:tcPr>
          <w:p w14:paraId="1A32FBAD" w14:textId="77777777" w:rsidR="00F63AE2" w:rsidRPr="00AF1558" w:rsidRDefault="00F63AE2" w:rsidP="00F63AE2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AF1558">
              <w:rPr>
                <w:rFonts w:cs="Arial"/>
                <w:sz w:val="22"/>
              </w:rPr>
              <w:t xml:space="preserve"> Check to ensure data is securely disposed of</w:t>
            </w:r>
          </w:p>
        </w:tc>
      </w:tr>
    </w:tbl>
    <w:p w14:paraId="2FA48467" w14:textId="77777777" w:rsidR="00F63AE2" w:rsidRDefault="00F63AE2" w:rsidP="00F63AE2">
      <w:pPr>
        <w:spacing w:line="276" w:lineRule="auto"/>
        <w:rPr>
          <w:rFonts w:cs="Arial"/>
        </w:rPr>
      </w:pPr>
    </w:p>
    <w:p w14:paraId="105C4715" w14:textId="77777777" w:rsidR="00F63AE2" w:rsidRPr="00F63AE2" w:rsidRDefault="00F63AE2" w:rsidP="00F63AE2">
      <w:pPr>
        <w:spacing w:line="276" w:lineRule="auto"/>
        <w:rPr>
          <w:b/>
          <w:bCs/>
        </w:rPr>
      </w:pPr>
    </w:p>
    <w:bookmarkEnd w:id="0"/>
    <w:sectPr w:rsidR="00F63AE2" w:rsidRPr="00F63AE2" w:rsidSect="00BD30B5">
      <w:footerReference w:type="default" r:id="rId10"/>
      <w:headerReference w:type="first" r:id="rId11"/>
      <w:footerReference w:type="first" r:id="rId12"/>
      <w:pgSz w:w="11906" w:h="16838"/>
      <w:pgMar w:top="1521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1F7997" w14:textId="77777777" w:rsidR="00406611" w:rsidRDefault="00406611" w:rsidP="00920131">
      <w:r>
        <w:separator/>
      </w:r>
    </w:p>
  </w:endnote>
  <w:endnote w:type="continuationSeparator" w:id="0">
    <w:p w14:paraId="2CE1D77D" w14:textId="77777777" w:rsidR="00406611" w:rsidRDefault="00406611" w:rsidP="00920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E2EE23" w14:textId="77777777" w:rsidR="005E585A" w:rsidRDefault="005E585A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EB94E1" wp14:editId="5AA148A0">
              <wp:simplePos x="0" y="0"/>
              <wp:positionH relativeFrom="column">
                <wp:posOffset>-228600</wp:posOffset>
              </wp:positionH>
              <wp:positionV relativeFrom="paragraph">
                <wp:posOffset>189865</wp:posOffset>
              </wp:positionV>
              <wp:extent cx="2209800" cy="457200"/>
              <wp:effectExtent l="0" t="0" r="0" b="0"/>
              <wp:wrapSquare wrapText="bothSides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E1DCD5" w14:textId="615F2727" w:rsidR="005E585A" w:rsidRPr="0093665E" w:rsidRDefault="005E585A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  <w:r w:rsidRPr="0093665E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Last </w:t>
                          </w:r>
                          <w:r w:rsidR="001A55DD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updated: </w:t>
                          </w:r>
                          <w:r w:rsidR="00DF2EEF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>February 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EB94E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18pt;margin-top:14.95pt;width:174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" filled="f" stroked="f">
              <v:textbox>
                <w:txbxContent>
                  <w:p w14:paraId="12E1DCD5" w14:textId="615F2727" w:rsidR="005E585A" w:rsidRPr="0093665E" w:rsidRDefault="005E585A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  <w:r w:rsidRPr="0093665E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Last </w:t>
                    </w:r>
                    <w:r w:rsidR="001A55DD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updated: </w:t>
                    </w:r>
                    <w:r w:rsidR="00DF2EEF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>February 2025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DA3C0" w14:textId="77777777" w:rsidR="005E585A" w:rsidRDefault="005E585A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6ABFDEC" wp14:editId="57FD7E39">
              <wp:simplePos x="0" y="0"/>
              <wp:positionH relativeFrom="column">
                <wp:posOffset>-228600</wp:posOffset>
              </wp:positionH>
              <wp:positionV relativeFrom="paragraph">
                <wp:posOffset>-61595</wp:posOffset>
              </wp:positionV>
              <wp:extent cx="2209800" cy="502920"/>
              <wp:effectExtent l="0" t="0" r="0" b="0"/>
              <wp:wrapSquare wrapText="bothSides"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502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E5AD02" w14:textId="0F6BD09C" w:rsidR="005E585A" w:rsidRPr="0093665E" w:rsidRDefault="005E585A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  <w:r w:rsidRPr="0093665E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Last </w:t>
                          </w:r>
                          <w:r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updated: </w:t>
                          </w:r>
                          <w:r w:rsidR="00206B49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>Feb 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ABFDE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8" type="#_x0000_t202" style="position:absolute;left:0;text-align:left;margin-left:-18pt;margin-top:-4.85pt;width:174pt;height:3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" filled="f" stroked="f">
              <v:textbox>
                <w:txbxContent>
                  <w:p w14:paraId="6FE5AD02" w14:textId="0F6BD09C" w:rsidR="005E585A" w:rsidRPr="0093665E" w:rsidRDefault="005E585A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  <w:r w:rsidRPr="0093665E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Last </w:t>
                    </w:r>
                    <w:r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updated: </w:t>
                    </w:r>
                    <w:r w:rsidR="00206B49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>Feb 2025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9A333" w14:textId="77777777" w:rsidR="00406611" w:rsidRDefault="00406611" w:rsidP="00920131">
      <w:r>
        <w:separator/>
      </w:r>
    </w:p>
  </w:footnote>
  <w:footnote w:type="continuationSeparator" w:id="0">
    <w:p w14:paraId="0DC739D7" w14:textId="77777777" w:rsidR="00406611" w:rsidRDefault="00406611" w:rsidP="00920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90B56" w14:textId="26EF717E" w:rsidR="005E585A" w:rsidRDefault="0066486A" w:rsidP="00E97706">
    <w:pPr>
      <w:pStyle w:val="Header"/>
      <w:tabs>
        <w:tab w:val="clear" w:pos="4513"/>
        <w:tab w:val="clear" w:pos="9026"/>
        <w:tab w:val="left" w:pos="5620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56704" behindDoc="0" locked="0" layoutInCell="1" allowOverlap="1" wp14:anchorId="7D96FEB5" wp14:editId="4AE1AD57">
              <wp:simplePos x="0" y="0"/>
              <wp:positionH relativeFrom="column">
                <wp:posOffset>5943600</wp:posOffset>
              </wp:positionH>
              <wp:positionV relativeFrom="paragraph">
                <wp:posOffset>-393032</wp:posOffset>
              </wp:positionV>
              <wp:extent cx="651510" cy="1404620"/>
              <wp:effectExtent l="0" t="0" r="0" b="0"/>
              <wp:wrapSquare wrapText="bothSides"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5E046A" w14:textId="77777777" w:rsidR="0066486A" w:rsidRPr="0066486A" w:rsidRDefault="0066486A" w:rsidP="0066486A">
                          <w:pPr>
                            <w:rPr>
                              <w:color w:val="FFFFFF" w:themeColor="background1"/>
                              <w:sz w:val="8"/>
                            </w:rPr>
                          </w:pPr>
                          <w:bookmarkStart w:id="2" w:name="_Hlk512849464"/>
                          <w:bookmarkStart w:id="3" w:name="_Hlk512849465"/>
                          <w:r w:rsidRPr="0066486A">
                            <w:rPr>
                              <w:color w:val="FFFFFF" w:themeColor="background1"/>
                              <w:sz w:val="8"/>
                            </w:rPr>
                            <w:t>Teal Salmon Butty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D96FEB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468pt;margin-top:-30.95pt;width:51.3pt;height:110.6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" stroked="f">
              <v:textbox style="mso-fit-shape-to-text:t">
                <w:txbxContent>
                  <w:p w14:paraId="6D5E046A" w14:textId="77777777" w:rsidR="0066486A" w:rsidRPr="0066486A" w:rsidRDefault="0066486A" w:rsidP="0066486A">
                    <w:pPr>
                      <w:rPr>
                        <w:color w:val="FFFFFF" w:themeColor="background1"/>
                        <w:sz w:val="8"/>
                      </w:rPr>
                    </w:pPr>
                    <w:bookmarkStart w:id="4" w:name="_Hlk512849464"/>
                    <w:bookmarkStart w:id="5" w:name="_Hlk512849465"/>
                    <w:r w:rsidRPr="0066486A">
                      <w:rPr>
                        <w:color w:val="FFFFFF" w:themeColor="background1"/>
                        <w:sz w:val="8"/>
                      </w:rPr>
                      <w:t>Teal Salmon Butty</w:t>
                    </w:r>
                    <w:bookmarkEnd w:id="4"/>
                    <w:bookmarkEnd w:id="5"/>
                  </w:p>
                </w:txbxContent>
              </v:textbox>
              <w10:wrap type="square"/>
            </v:shape>
          </w:pict>
        </mc:Fallback>
      </mc:AlternateContent>
    </w:r>
    <w:r w:rsidR="00E9770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6BE0"/>
    <w:multiLevelType w:val="multilevel"/>
    <w:tmpl w:val="88BE6E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1" w15:restartNumberingAfterBreak="0">
    <w:nsid w:val="08816204"/>
    <w:multiLevelType w:val="hybridMultilevel"/>
    <w:tmpl w:val="5524A91C"/>
    <w:lvl w:ilvl="0" w:tplc="1506C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62962"/>
    <w:multiLevelType w:val="hybridMultilevel"/>
    <w:tmpl w:val="8BC46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4D22C7"/>
    <w:multiLevelType w:val="hybridMultilevel"/>
    <w:tmpl w:val="D062BF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AE5C09"/>
    <w:multiLevelType w:val="hybridMultilevel"/>
    <w:tmpl w:val="9D9E4200"/>
    <w:lvl w:ilvl="0" w:tplc="518CB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F74F9"/>
    <w:multiLevelType w:val="hybridMultilevel"/>
    <w:tmpl w:val="9ED00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86D7D"/>
    <w:multiLevelType w:val="hybridMultilevel"/>
    <w:tmpl w:val="0CC66194"/>
    <w:lvl w:ilvl="0" w:tplc="026C2074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7" w15:restartNumberingAfterBreak="0">
    <w:nsid w:val="50A3531D"/>
    <w:multiLevelType w:val="multilevel"/>
    <w:tmpl w:val="949CA516"/>
    <w:styleLink w:val="Style1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7"/>
    <w:lvlOverride w:ilvl="0">
      <w:lvl w:ilvl="0">
        <w:start w:val="1"/>
        <w:numFmt w:val="decimal"/>
        <w:pStyle w:val="Heading1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rFonts w:ascii="Arial" w:hAnsi="Arial" w:cs="Arial" w:hint="default"/>
          <w:b/>
          <w:sz w:val="22"/>
        </w:rPr>
      </w:lvl>
    </w:lvlOverride>
  </w:num>
  <w:num w:numId="4">
    <w:abstractNumId w:val="7"/>
  </w:num>
  <w:num w:numId="5">
    <w:abstractNumId w:val="0"/>
  </w:num>
  <w:num w:numId="6">
    <w:abstractNumId w:val="8"/>
  </w:num>
  <w:num w:numId="7">
    <w:abstractNumId w:val="3"/>
  </w:num>
  <w:num w:numId="8">
    <w:abstractNumId w:val="2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131"/>
    <w:rsid w:val="00021B95"/>
    <w:rsid w:val="0007795D"/>
    <w:rsid w:val="00083E5E"/>
    <w:rsid w:val="00097AE9"/>
    <w:rsid w:val="000C238B"/>
    <w:rsid w:val="000C44DE"/>
    <w:rsid w:val="0017134C"/>
    <w:rsid w:val="00171E26"/>
    <w:rsid w:val="001A55DD"/>
    <w:rsid w:val="00206B49"/>
    <w:rsid w:val="00212F82"/>
    <w:rsid w:val="002A64DB"/>
    <w:rsid w:val="002C0DB0"/>
    <w:rsid w:val="002C594C"/>
    <w:rsid w:val="00300A8E"/>
    <w:rsid w:val="003030C9"/>
    <w:rsid w:val="00351919"/>
    <w:rsid w:val="00383324"/>
    <w:rsid w:val="003C24D7"/>
    <w:rsid w:val="00406611"/>
    <w:rsid w:val="0041665B"/>
    <w:rsid w:val="00476EC5"/>
    <w:rsid w:val="00507CBA"/>
    <w:rsid w:val="00510FCE"/>
    <w:rsid w:val="00511636"/>
    <w:rsid w:val="00546C67"/>
    <w:rsid w:val="00587DA0"/>
    <w:rsid w:val="005E585A"/>
    <w:rsid w:val="00632018"/>
    <w:rsid w:val="0063244F"/>
    <w:rsid w:val="00632A91"/>
    <w:rsid w:val="00650CE0"/>
    <w:rsid w:val="0066486A"/>
    <w:rsid w:val="006A6B61"/>
    <w:rsid w:val="006E369F"/>
    <w:rsid w:val="006F7D42"/>
    <w:rsid w:val="00731D00"/>
    <w:rsid w:val="00732955"/>
    <w:rsid w:val="00736D1C"/>
    <w:rsid w:val="00744D41"/>
    <w:rsid w:val="00764158"/>
    <w:rsid w:val="00804E7F"/>
    <w:rsid w:val="00817C47"/>
    <w:rsid w:val="008401FA"/>
    <w:rsid w:val="008D0F9B"/>
    <w:rsid w:val="00920131"/>
    <w:rsid w:val="0095744D"/>
    <w:rsid w:val="009820B6"/>
    <w:rsid w:val="00985DA4"/>
    <w:rsid w:val="009A1568"/>
    <w:rsid w:val="00A332F9"/>
    <w:rsid w:val="00A95A1F"/>
    <w:rsid w:val="00AA5A77"/>
    <w:rsid w:val="00AE0C20"/>
    <w:rsid w:val="00B54383"/>
    <w:rsid w:val="00B60623"/>
    <w:rsid w:val="00BD1DFE"/>
    <w:rsid w:val="00BD30B5"/>
    <w:rsid w:val="00BE5001"/>
    <w:rsid w:val="00C144EC"/>
    <w:rsid w:val="00C82D6A"/>
    <w:rsid w:val="00CD7006"/>
    <w:rsid w:val="00D802FC"/>
    <w:rsid w:val="00DB6997"/>
    <w:rsid w:val="00DC5E44"/>
    <w:rsid w:val="00DF2EEF"/>
    <w:rsid w:val="00E159CD"/>
    <w:rsid w:val="00E6585A"/>
    <w:rsid w:val="00E97706"/>
    <w:rsid w:val="00EB158F"/>
    <w:rsid w:val="00ED1FCA"/>
    <w:rsid w:val="00EF218B"/>
    <w:rsid w:val="00F02EDE"/>
    <w:rsid w:val="00F12A79"/>
    <w:rsid w:val="00F4597E"/>
    <w:rsid w:val="00F5441B"/>
    <w:rsid w:val="00F63AE2"/>
    <w:rsid w:val="00F91D5A"/>
    <w:rsid w:val="00FC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5947FEDD"/>
  <w15:docId w15:val="{8B0654C8-D3BA-4906-9904-7ABC780B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1FCA"/>
    <w:pPr>
      <w:spacing w:before="120" w:after="120" w:line="240" w:lineRule="auto"/>
      <w:jc w:val="both"/>
    </w:pPr>
    <w:rPr>
      <w:rFonts w:ascii="Arial" w:eastAsiaTheme="minorEastAsia" w:hAnsi="Arial"/>
      <w:szCs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BD30B5"/>
    <w:pPr>
      <w:numPr>
        <w:numId w:val="3"/>
      </w:numPr>
      <w:outlineLvl w:val="0"/>
    </w:pPr>
    <w:rPr>
      <w:rFonts w:asciiTheme="majorHAnsi" w:hAnsiTheme="majorHAnsi" w:cstheme="majorHAnsi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9201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20131"/>
  </w:style>
  <w:style w:type="paragraph" w:styleId="Footer">
    <w:name w:val="footer"/>
    <w:basedOn w:val="Normal"/>
    <w:link w:val="FooterChar"/>
    <w:uiPriority w:val="99"/>
    <w:unhideWhenUsed/>
    <w:rsid w:val="009201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0131"/>
  </w:style>
  <w:style w:type="paragraph" w:styleId="ListParagraph">
    <w:name w:val="List Paragraph"/>
    <w:basedOn w:val="Normal"/>
    <w:uiPriority w:val="34"/>
    <w:qFormat/>
    <w:rsid w:val="005E585A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  <w:style w:type="character" w:styleId="Hyperlink">
    <w:name w:val="Hyperlink"/>
    <w:basedOn w:val="DefaultParagraphFont"/>
    <w:uiPriority w:val="99"/>
    <w:unhideWhenUsed/>
    <w:rsid w:val="005E585A"/>
    <w:rPr>
      <w:color w:val="0000EE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D30B5"/>
    <w:rPr>
      <w:rFonts w:asciiTheme="majorHAnsi" w:hAnsiTheme="majorHAnsi" w:cstheme="majorHAnsi"/>
      <w:sz w:val="28"/>
      <w:szCs w:val="32"/>
    </w:rPr>
  </w:style>
  <w:style w:type="table" w:styleId="TableGrid">
    <w:name w:val="Table Grid"/>
    <w:basedOn w:val="TableNormal"/>
    <w:uiPriority w:val="59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1B1B1" w:themeColor="accent1"/>
        <w:left w:val="single" w:sz="8" w:space="0" w:color="B1B1B1" w:themeColor="accent1"/>
        <w:bottom w:val="single" w:sz="8" w:space="0" w:color="B1B1B1" w:themeColor="accent1"/>
        <w:right w:val="single" w:sz="8" w:space="0" w:color="B1B1B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1B1B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B1B1" w:themeColor="accent1"/>
          <w:left w:val="single" w:sz="8" w:space="0" w:color="B1B1B1" w:themeColor="accent1"/>
          <w:bottom w:val="single" w:sz="8" w:space="0" w:color="B1B1B1" w:themeColor="accent1"/>
          <w:right w:val="single" w:sz="8" w:space="0" w:color="B1B1B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1B1B1" w:themeColor="accent1"/>
          <w:left w:val="single" w:sz="8" w:space="0" w:color="B1B1B1" w:themeColor="accent1"/>
          <w:bottom w:val="single" w:sz="8" w:space="0" w:color="B1B1B1" w:themeColor="accent1"/>
          <w:right w:val="single" w:sz="8" w:space="0" w:color="B1B1B1" w:themeColor="accent1"/>
        </w:tcBorders>
      </w:tcPr>
    </w:tblStylePr>
    <w:tblStylePr w:type="band1Horz">
      <w:tblPr/>
      <w:tcPr>
        <w:tcBorders>
          <w:top w:val="single" w:sz="8" w:space="0" w:color="B1B1B1" w:themeColor="accent1"/>
          <w:left w:val="single" w:sz="8" w:space="0" w:color="B1B1B1" w:themeColor="accent1"/>
          <w:bottom w:val="single" w:sz="8" w:space="0" w:color="B1B1B1" w:themeColor="accent1"/>
          <w:right w:val="single" w:sz="8" w:space="0" w:color="B1B1B1" w:themeColor="accent1"/>
        </w:tcBorders>
      </w:tcPr>
    </w:tblStylePr>
  </w:style>
  <w:style w:type="paragraph" w:customStyle="1" w:styleId="Style2">
    <w:name w:val="Style2"/>
    <w:basedOn w:val="Heading1"/>
    <w:link w:val="Style2Char"/>
    <w:qFormat/>
    <w:rsid w:val="00BD30B5"/>
    <w:pPr>
      <w:numPr>
        <w:ilvl w:val="1"/>
      </w:numPr>
      <w:spacing w:after="0" w:line="240" w:lineRule="auto"/>
      <w:ind w:left="357" w:hanging="357"/>
      <w:contextualSpacing w:val="0"/>
    </w:pPr>
    <w:rPr>
      <w:rFonts w:cstheme="minorHAnsi"/>
      <w:sz w:val="22"/>
    </w:rPr>
  </w:style>
  <w:style w:type="paragraph" w:customStyle="1" w:styleId="PolicyLevel3">
    <w:name w:val="Policy Level 3"/>
    <w:basedOn w:val="Style2"/>
    <w:qFormat/>
    <w:rsid w:val="00BD30B5"/>
    <w:pPr>
      <w:numPr>
        <w:ilvl w:val="2"/>
      </w:numPr>
    </w:pPr>
  </w:style>
  <w:style w:type="numbering" w:customStyle="1" w:styleId="Style1">
    <w:name w:val="Style1"/>
    <w:basedOn w:val="NoList"/>
    <w:uiPriority w:val="99"/>
    <w:rsid w:val="00BD30B5"/>
    <w:pPr>
      <w:numPr>
        <w:numId w:val="4"/>
      </w:numPr>
    </w:pPr>
  </w:style>
  <w:style w:type="paragraph" w:customStyle="1" w:styleId="Heading10">
    <w:name w:val="Heading1"/>
    <w:basedOn w:val="Header"/>
    <w:next w:val="Normal"/>
    <w:qFormat/>
    <w:rsid w:val="00ED1FCA"/>
    <w:rPr>
      <w:b/>
      <w:sz w:val="32"/>
    </w:rPr>
  </w:style>
  <w:style w:type="paragraph" w:customStyle="1" w:styleId="PolicyBullets">
    <w:name w:val="Policy Bullets"/>
    <w:basedOn w:val="ListParagraph"/>
    <w:link w:val="PolicyBulletsChar"/>
    <w:qFormat/>
    <w:rsid w:val="00BD30B5"/>
    <w:pPr>
      <w:numPr>
        <w:numId w:val="6"/>
      </w:numPr>
      <w:spacing w:after="120"/>
    </w:pPr>
  </w:style>
  <w:style w:type="character" w:customStyle="1" w:styleId="PolicyBulletsChar">
    <w:name w:val="Policy Bullets Char"/>
    <w:basedOn w:val="DefaultParagraphFont"/>
    <w:link w:val="PolicyBullets"/>
    <w:rsid w:val="00BD30B5"/>
  </w:style>
  <w:style w:type="character" w:customStyle="1" w:styleId="Style2Char">
    <w:name w:val="Style2 Char"/>
    <w:basedOn w:val="Heading1Char"/>
    <w:link w:val="Style2"/>
    <w:rsid w:val="00021B95"/>
    <w:rPr>
      <w:rFonts w:asciiTheme="majorHAnsi" w:hAnsiTheme="majorHAnsi" w:cstheme="minorHAnsi"/>
      <w:sz w:val="28"/>
      <w:szCs w:val="32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1A55DD"/>
    <w:pPr>
      <w:tabs>
        <w:tab w:val="left" w:pos="3686"/>
      </w:tabs>
      <w:spacing w:before="240" w:after="240"/>
      <w:ind w:left="0"/>
      <w:contextualSpacing w:val="0"/>
    </w:pPr>
    <w:rPr>
      <w:rFonts w:ascii="Arial" w:hAnsi="Arial" w:cs="Arial"/>
      <w:lang w:eastAsia="en-GB"/>
    </w:rPr>
  </w:style>
  <w:style w:type="character" w:customStyle="1" w:styleId="TSB-PolicyBulletsChar">
    <w:name w:val="TSB - Policy Bullets Char"/>
    <w:basedOn w:val="DefaultParagraphFont"/>
    <w:link w:val="TSB-PolicyBullets"/>
    <w:rsid w:val="001A55DD"/>
    <w:rPr>
      <w:rFonts w:ascii="Arial" w:hAnsi="Arial" w:cs="Arial"/>
      <w:lang w:eastAsia="en-GB"/>
    </w:rPr>
  </w:style>
  <w:style w:type="paragraph" w:styleId="Revision">
    <w:name w:val="Revision"/>
    <w:hidden/>
    <w:uiPriority w:val="99"/>
    <w:semiHidden/>
    <w:rsid w:val="00F63AE2"/>
    <w:pPr>
      <w:spacing w:after="0" w:line="240" w:lineRule="auto"/>
    </w:pPr>
    <w:rPr>
      <w:rFonts w:ascii="Arial" w:eastAsiaTheme="minorEastAsia" w:hAnsi="Arial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C5E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C5E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C5E44"/>
    <w:rPr>
      <w:rFonts w:ascii="Arial" w:eastAsiaTheme="minorEastAsia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5E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5E44"/>
    <w:rPr>
      <w:rFonts w:ascii="Arial" w:eastAsiaTheme="minorEastAsia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TSB2021">
      <a:dk1>
        <a:srgbClr val="000000"/>
      </a:dk1>
      <a:lt1>
        <a:sysClr val="window" lastClr="FFFFFF"/>
      </a:lt1>
      <a:dk2>
        <a:srgbClr val="000000"/>
      </a:dk2>
      <a:lt2>
        <a:srgbClr val="ECECEC"/>
      </a:lt2>
      <a:accent1>
        <a:srgbClr val="B1B1B1"/>
      </a:accent1>
      <a:accent2>
        <a:srgbClr val="041E42"/>
      </a:accent2>
      <a:accent3>
        <a:srgbClr val="041E42"/>
      </a:accent3>
      <a:accent4>
        <a:srgbClr val="47D7AC"/>
      </a:accent4>
      <a:accent5>
        <a:srgbClr val="FF6900"/>
      </a:accent5>
      <a:accent6>
        <a:srgbClr val="000000"/>
      </a:accent6>
      <a:hlink>
        <a:srgbClr val="0000EE"/>
      </a:hlink>
      <a:folHlink>
        <a:srgbClr val="990099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FB7B3EEEC3A043AA0E4989D5F15BB0" ma:contentTypeVersion="18" ma:contentTypeDescription="Create a new document." ma:contentTypeScope="" ma:versionID="10ef24cf4af39537c13b68edfd7db1e2">
  <xsd:schema xmlns:xsd="http://www.w3.org/2001/XMLSchema" xmlns:xs="http://www.w3.org/2001/XMLSchema" xmlns:p="http://schemas.microsoft.com/office/2006/metadata/properties" xmlns:ns3="a2d6e878-70d4-4a55-b9cc-d10454cdd8d9" xmlns:ns4="fd00e422-94ec-4349-b9a9-dbbfd2f9be0e" targetNamespace="http://schemas.microsoft.com/office/2006/metadata/properties" ma:root="true" ma:fieldsID="1a81740c7532680d279bd18b18456014" ns3:_="" ns4:_="">
    <xsd:import namespace="a2d6e878-70d4-4a55-b9cc-d10454cdd8d9"/>
    <xsd:import namespace="fd00e422-94ec-4349-b9a9-dbbfd2f9b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6e878-70d4-4a55-b9cc-d10454cdd8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00e422-94ec-4349-b9a9-dbbfd2f9b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2d6e878-70d4-4a55-b9cc-d10454cdd8d9" xsi:nil="true"/>
  </documentManagement>
</p:properties>
</file>

<file path=customXml/itemProps1.xml><?xml version="1.0" encoding="utf-8"?>
<ds:datastoreItem xmlns:ds="http://schemas.openxmlformats.org/officeDocument/2006/customXml" ds:itemID="{250FCCE0-5E26-480F-8AC6-F36F201ABA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d6e878-70d4-4a55-b9cc-d10454cdd8d9"/>
    <ds:schemaRef ds:uri="fd00e422-94ec-4349-b9a9-dbbfd2f9b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AAAB95-4C91-4627-9C42-EFA04FE7E7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B36E11-36A2-4D8E-BCF9-67F9C6CFF9D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a2d6e878-70d4-4a55-b9cc-d10454cdd8d9"/>
    <ds:schemaRef ds:uri="http://purl.org/dc/terms/"/>
    <ds:schemaRef ds:uri="fd00e422-94ec-4349-b9a9-dbbfd2f9be0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Kieran Bamford</dc:creator>
  <cp:lastModifiedBy>Tracey Green</cp:lastModifiedBy>
  <cp:revision>2</cp:revision>
  <dcterms:created xsi:type="dcterms:W3CDTF">2025-02-11T13:58:00Z</dcterms:created>
  <dcterms:modified xsi:type="dcterms:W3CDTF">2025-02-11T13:58:00Z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0x010100F7FB7B3EEEC3A043AA0E4989D5F15BB0</vt:lpwstr>
  </property>
</Properties>
</file>